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44A4" w:rsidRDefault="006344A4" w:rsidP="006344A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13. Considerations </w:t>
      </w:r>
      <w:proofErr w:type="spellStart"/>
      <w:r>
        <w:rPr>
          <w:b/>
          <w:bCs/>
          <w:sz w:val="32"/>
          <w:szCs w:val="32"/>
          <w:u w:val="single"/>
        </w:rPr>
        <w:t>under standing</w:t>
      </w:r>
      <w:proofErr w:type="spellEnd"/>
      <w:r>
        <w:rPr>
          <w:b/>
          <w:bCs/>
          <w:sz w:val="32"/>
          <w:szCs w:val="32"/>
          <w:u w:val="single"/>
        </w:rPr>
        <w:t xml:space="preserve"> order 5J</w:t>
      </w:r>
    </w:p>
    <w:p w:rsidR="006344A4" w:rsidRDefault="006344A4" w:rsidP="006344A4">
      <w:pPr>
        <w:jc w:val="center"/>
        <w:rPr>
          <w:b/>
          <w:bCs/>
          <w:sz w:val="32"/>
          <w:szCs w:val="32"/>
          <w:u w:val="single"/>
        </w:rPr>
      </w:pPr>
    </w:p>
    <w:p w:rsidR="006344A4" w:rsidRPr="006344A4" w:rsidRDefault="006344A4" w:rsidP="006344A4">
      <w:pPr>
        <w:rPr>
          <w:sz w:val="24"/>
          <w:szCs w:val="24"/>
        </w:rPr>
      </w:pPr>
      <w:r>
        <w:rPr>
          <w:sz w:val="24"/>
          <w:szCs w:val="24"/>
        </w:rPr>
        <w:t>The Council’s Standing Orders call for the following to be considered at the Annual Council Meeting. Any reviews agreed to be carried out can be brought b</w:t>
      </w:r>
      <w:r w:rsidR="00911735">
        <w:rPr>
          <w:sz w:val="24"/>
          <w:szCs w:val="24"/>
        </w:rPr>
        <w:t>ack to a future meeting.</w:t>
      </w:r>
    </w:p>
    <w:p w:rsidR="006344A4" w:rsidRDefault="006344A4"/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delegation arrangements to committees, sub-committees, staff</w:t>
      </w:r>
    </w:p>
    <w:p w:rsidR="006344A4" w:rsidRPr="006344A4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and other local authorities;</w:t>
      </w:r>
      <w:r>
        <w:t xml:space="preserve"> </w:t>
      </w:r>
      <w:r>
        <w:rPr>
          <w:color w:val="2E74B5" w:themeColor="accent5" w:themeShade="BF"/>
        </w:rPr>
        <w:t>The only delegation arrangements currently in place are to the Clerk &amp; Staffing Committee. Does the Council wish to review these and propose any changes?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the terms of reference for committees;</w:t>
      </w:r>
      <w:r>
        <w:t xml:space="preserve"> </w:t>
      </w:r>
      <w:r>
        <w:rPr>
          <w:color w:val="2E74B5" w:themeColor="accent5" w:themeShade="BF"/>
        </w:rPr>
        <w:t>The terms of reference for the Staffing Committee were adopted in November 2023. Does the Council wish to reconfirm acceptance or carry out a review?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Appointment of members to existing committees;</w:t>
      </w:r>
      <w:r w:rsidR="00911735">
        <w:t xml:space="preserve"> </w:t>
      </w:r>
      <w:r w:rsidR="00911735">
        <w:rPr>
          <w:color w:val="2E74B5" w:themeColor="accent5" w:themeShade="BF"/>
        </w:rPr>
        <w:t>The Staffing Committee has 3 members and is chaired by the Chair of the Council. Is the Council/are the Committee members happy with the current membership?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Appointment of any new committees in accordance with standing order 4;</w:t>
      </w:r>
      <w:r w:rsidR="00911735">
        <w:t xml:space="preserve"> </w:t>
      </w:r>
      <w:r w:rsidR="00911735">
        <w:rPr>
          <w:color w:val="2E74B5" w:themeColor="accent5" w:themeShade="BF"/>
        </w:rPr>
        <w:t>Does anybody wish to propose the formation of any new committees?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and adoption of appropriate standing orders and financial</w:t>
      </w:r>
    </w:p>
    <w:p w:rsidR="006344A4" w:rsidRPr="00911735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regulations;</w:t>
      </w:r>
      <w:r w:rsidR="00911735">
        <w:t xml:space="preserve"> </w:t>
      </w:r>
      <w:r w:rsidR="00911735">
        <w:rPr>
          <w:color w:val="2E74B5" w:themeColor="accent5" w:themeShade="BF"/>
        </w:rPr>
        <w:t>The Standing Orders were adopted in July 2023</w:t>
      </w:r>
      <w:r w:rsidR="005079CE">
        <w:rPr>
          <w:color w:val="2E74B5" w:themeColor="accent5" w:themeShade="BF"/>
        </w:rPr>
        <w:t xml:space="preserve"> and no updates have been issued by NALC. The Council’s Financial Regulations were also adopted in July </w:t>
      </w:r>
      <w:proofErr w:type="gramStart"/>
      <w:r w:rsidR="005079CE">
        <w:rPr>
          <w:color w:val="2E74B5" w:themeColor="accent5" w:themeShade="BF"/>
        </w:rPr>
        <w:t>2023,</w:t>
      </w:r>
      <w:proofErr w:type="gramEnd"/>
      <w:r w:rsidR="005079CE">
        <w:rPr>
          <w:color w:val="2E74B5" w:themeColor="accent5" w:themeShade="BF"/>
        </w:rPr>
        <w:t xml:space="preserve"> however NALC issued an update less than a month ago. 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arrangements (including legal agreements) with other local</w:t>
      </w:r>
    </w:p>
    <w:p w:rsidR="006344A4" w:rsidRPr="005079CE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authorities, not-for-profit bodies and businesses.</w:t>
      </w:r>
      <w:r w:rsidR="005079CE">
        <w:t xml:space="preserve"> </w:t>
      </w:r>
      <w:r w:rsidR="005079CE">
        <w:rPr>
          <w:color w:val="2E74B5" w:themeColor="accent5" w:themeShade="BF"/>
        </w:rPr>
        <w:t>To consider arrangements where the Council works with other organisations.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representation on or work with external bodies and</w:t>
      </w:r>
    </w:p>
    <w:p w:rsidR="006344A4" w:rsidRPr="005079CE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arrangements for reporting back;</w:t>
      </w:r>
      <w:r w:rsidR="005079CE">
        <w:t xml:space="preserve"> </w:t>
      </w:r>
      <w:r w:rsidR="005079CE">
        <w:rPr>
          <w:color w:val="2E74B5" w:themeColor="accent5" w:themeShade="BF"/>
        </w:rPr>
        <w:t>To consider who represents the Council to outside bodies, how they report back, and any proposed changes.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In an election year, to make arrangements with a view to the Council</w:t>
      </w:r>
    </w:p>
    <w:p w:rsidR="006344A4" w:rsidRPr="009E418A" w:rsidRDefault="006344A4" w:rsidP="006344A4">
      <w:pPr>
        <w:pStyle w:val="Standard"/>
        <w:ind w:left="1080"/>
      </w:pPr>
      <w:r w:rsidRPr="009E418A">
        <w:t>becoming eligible to exercise the general power of competence in the</w:t>
      </w:r>
    </w:p>
    <w:p w:rsidR="006344A4" w:rsidRPr="005079CE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future;</w:t>
      </w:r>
      <w:r w:rsidR="005079CE">
        <w:t xml:space="preserve"> </w:t>
      </w:r>
      <w:r w:rsidR="005079CE">
        <w:rPr>
          <w:color w:val="2E74B5" w:themeColor="accent5" w:themeShade="BF"/>
        </w:rPr>
        <w:t>N/A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inventory of land and other assets including buildings and</w:t>
      </w:r>
    </w:p>
    <w:p w:rsidR="006344A4" w:rsidRPr="005079CE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office equipment;</w:t>
      </w:r>
      <w:r w:rsidR="005079CE">
        <w:t xml:space="preserve"> </w:t>
      </w:r>
      <w:r w:rsidR="005079CE">
        <w:rPr>
          <w:color w:val="2E74B5" w:themeColor="accent5" w:themeShade="BF"/>
        </w:rPr>
        <w:t>Asset Register attached.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Confirmation of arrangements for insurance cover in respect of all</w:t>
      </w:r>
    </w:p>
    <w:p w:rsidR="006344A4" w:rsidRPr="00806438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insurable risks;</w:t>
      </w:r>
      <w:r w:rsidR="005079CE">
        <w:t xml:space="preserve"> </w:t>
      </w:r>
      <w:r w:rsidR="00806438">
        <w:rPr>
          <w:color w:val="2E74B5" w:themeColor="accent5" w:themeShade="BF"/>
        </w:rPr>
        <w:t>The insurance is due for renewal on 3</w:t>
      </w:r>
      <w:r w:rsidR="00806438" w:rsidRPr="00806438">
        <w:rPr>
          <w:color w:val="2E74B5" w:themeColor="accent5" w:themeShade="BF"/>
          <w:vertAlign w:val="superscript"/>
        </w:rPr>
        <w:t>rd</w:t>
      </w:r>
      <w:r w:rsidR="00806438">
        <w:rPr>
          <w:color w:val="2E74B5" w:themeColor="accent5" w:themeShade="BF"/>
        </w:rPr>
        <w:t xml:space="preserve"> August. The new schedule is usually issued in June. The schedule will be shared with the Council for comment and then the Clerk will obtain quotes for comparison.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the Council</w:t>
      </w:r>
      <w:r>
        <w:t>’</w:t>
      </w:r>
      <w:r w:rsidRPr="009E418A">
        <w:t>s and/or staff subscriptions to other bodies;</w:t>
      </w:r>
      <w:r w:rsidR="00806438">
        <w:t xml:space="preserve"> </w:t>
      </w:r>
      <w:r w:rsidR="00806438">
        <w:rPr>
          <w:color w:val="2E74B5" w:themeColor="accent5" w:themeShade="BF"/>
        </w:rPr>
        <w:t>Currently CALC. Budgeted for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the Council</w:t>
      </w:r>
      <w:r>
        <w:t>’</w:t>
      </w:r>
      <w:r w:rsidRPr="009E418A">
        <w:t>s complaints procedure;</w:t>
      </w:r>
      <w:r w:rsidR="00806438">
        <w:t xml:space="preserve"> </w:t>
      </w:r>
      <w:r w:rsidR="00806438">
        <w:rPr>
          <w:color w:val="2E74B5" w:themeColor="accent5" w:themeShade="BF"/>
        </w:rPr>
        <w:t>The Complaints procedure was adopted in March 2024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the Council</w:t>
      </w:r>
      <w:r>
        <w:t>’</w:t>
      </w:r>
      <w:r w:rsidRPr="009E418A">
        <w:t>s policies, procedures and practices in respect of</w:t>
      </w:r>
    </w:p>
    <w:p w:rsidR="006344A4" w:rsidRPr="009E418A" w:rsidRDefault="006344A4" w:rsidP="006344A4">
      <w:pPr>
        <w:pStyle w:val="Standard"/>
        <w:ind w:left="1080"/>
      </w:pPr>
      <w:r w:rsidRPr="009E418A">
        <w:t>its obligations under freedom of information and data protection</w:t>
      </w:r>
    </w:p>
    <w:p w:rsidR="006344A4" w:rsidRPr="00806438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legislation (see also standing orders 11, 20 and 21);</w:t>
      </w:r>
      <w:r w:rsidR="00806438">
        <w:t xml:space="preserve"> </w:t>
      </w:r>
      <w:r w:rsidR="00806438">
        <w:rPr>
          <w:color w:val="2E74B5" w:themeColor="accent5" w:themeShade="BF"/>
        </w:rPr>
        <w:t>These were confirmed in July 2023. There have been no changes to legislation.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the Council</w:t>
      </w:r>
      <w:r>
        <w:t>’</w:t>
      </w:r>
      <w:r w:rsidRPr="009E418A">
        <w:t>s policy for dealing with the press/media;</w:t>
      </w:r>
      <w:r w:rsidR="00806438">
        <w:t xml:space="preserve"> </w:t>
      </w:r>
      <w:r w:rsidR="00806438">
        <w:rPr>
          <w:color w:val="2E74B5" w:themeColor="accent5" w:themeShade="BF"/>
        </w:rPr>
        <w:t>The policy was confirmed in July 2023.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lastRenderedPageBreak/>
        <w:t>Review of the Council</w:t>
      </w:r>
      <w:r>
        <w:t>’</w:t>
      </w:r>
      <w:r w:rsidRPr="009E418A">
        <w:t>s employment policies and procedures;</w:t>
      </w:r>
      <w:r w:rsidR="00806438">
        <w:t xml:space="preserve"> </w:t>
      </w:r>
      <w:r w:rsidR="00295873">
        <w:rPr>
          <w:color w:val="2E74B5" w:themeColor="accent5" w:themeShade="BF"/>
        </w:rPr>
        <w:t>Does the Council wish to review current policies or adopt any new ones?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Review of the Council</w:t>
      </w:r>
      <w:r>
        <w:t>’</w:t>
      </w:r>
      <w:r w:rsidRPr="009E418A">
        <w:t>s expenditure incurred under s.137 of the Local</w:t>
      </w:r>
    </w:p>
    <w:p w:rsidR="006344A4" w:rsidRPr="00295873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Government Act 1972 or the general power of competence.</w:t>
      </w:r>
      <w:r w:rsidR="00295873">
        <w:t xml:space="preserve"> </w:t>
      </w:r>
      <w:r w:rsidR="00295873">
        <w:rPr>
          <w:color w:val="2E74B5" w:themeColor="accent5" w:themeShade="BF"/>
        </w:rPr>
        <w:t>£22.50 was spent on the poppy wreath. All over expenditure was made under one of the Council’s powers.</w:t>
      </w:r>
    </w:p>
    <w:p w:rsidR="006344A4" w:rsidRPr="009E418A" w:rsidRDefault="006344A4" w:rsidP="006344A4">
      <w:pPr>
        <w:pStyle w:val="Standard"/>
        <w:numPr>
          <w:ilvl w:val="0"/>
          <w:numId w:val="1"/>
        </w:numPr>
      </w:pPr>
      <w:r w:rsidRPr="009E418A">
        <w:t>Determining the time and place of ordinary meetings of the Council up to</w:t>
      </w:r>
    </w:p>
    <w:p w:rsidR="006344A4" w:rsidRDefault="006344A4" w:rsidP="006344A4">
      <w:pPr>
        <w:pStyle w:val="Standard"/>
        <w:ind w:left="1080"/>
        <w:rPr>
          <w:color w:val="2E74B5" w:themeColor="accent5" w:themeShade="BF"/>
        </w:rPr>
      </w:pPr>
      <w:r w:rsidRPr="009E418A">
        <w:t>and including the next annual meeting of the Council.</w:t>
      </w:r>
      <w:r w:rsidR="00295873">
        <w:t xml:space="preserve"> </w:t>
      </w:r>
      <w:r w:rsidR="00295873">
        <w:rPr>
          <w:color w:val="2E74B5" w:themeColor="accent5" w:themeShade="BF"/>
        </w:rPr>
        <w:t>Keeping to the same days as we currently meet (3</w:t>
      </w:r>
      <w:r w:rsidR="00295873" w:rsidRPr="00295873">
        <w:rPr>
          <w:color w:val="2E74B5" w:themeColor="accent5" w:themeShade="BF"/>
          <w:vertAlign w:val="superscript"/>
        </w:rPr>
        <w:t>rd</w:t>
      </w:r>
      <w:r w:rsidR="00295873">
        <w:rPr>
          <w:color w:val="2E74B5" w:themeColor="accent5" w:themeShade="BF"/>
        </w:rPr>
        <w:t xml:space="preserve"> Tuesday) these would fall as follows:</w:t>
      </w:r>
    </w:p>
    <w:p w:rsidR="00295873" w:rsidRDefault="00295873" w:rsidP="006344A4">
      <w:pPr>
        <w:pStyle w:val="Standard"/>
        <w:ind w:left="1080"/>
        <w:rPr>
          <w:color w:val="2E74B5" w:themeColor="accent5" w:themeShade="BF"/>
        </w:rPr>
      </w:pPr>
      <w:r>
        <w:rPr>
          <w:color w:val="2E74B5" w:themeColor="accent5" w:themeShade="BF"/>
        </w:rPr>
        <w:t>July 16</w:t>
      </w:r>
      <w:r w:rsidRPr="00295873">
        <w:rPr>
          <w:color w:val="2E74B5" w:themeColor="accent5" w:themeShade="BF"/>
          <w:vertAlign w:val="superscript"/>
        </w:rPr>
        <w:t>th</w:t>
      </w:r>
      <w:r>
        <w:rPr>
          <w:color w:val="2E74B5" w:themeColor="accent5" w:themeShade="BF"/>
        </w:rPr>
        <w:t xml:space="preserve"> 2024</w:t>
      </w:r>
    </w:p>
    <w:p w:rsidR="00295873" w:rsidRDefault="00295873" w:rsidP="006344A4">
      <w:pPr>
        <w:pStyle w:val="Standard"/>
        <w:ind w:left="1080"/>
        <w:rPr>
          <w:color w:val="2E74B5" w:themeColor="accent5" w:themeShade="BF"/>
        </w:rPr>
      </w:pPr>
      <w:r>
        <w:rPr>
          <w:color w:val="2E74B5" w:themeColor="accent5" w:themeShade="BF"/>
        </w:rPr>
        <w:t>September 17</w:t>
      </w:r>
      <w:r w:rsidRPr="00295873">
        <w:rPr>
          <w:color w:val="2E74B5" w:themeColor="accent5" w:themeShade="BF"/>
          <w:vertAlign w:val="superscript"/>
        </w:rPr>
        <w:t>th</w:t>
      </w:r>
      <w:r>
        <w:rPr>
          <w:color w:val="2E74B5" w:themeColor="accent5" w:themeShade="BF"/>
        </w:rPr>
        <w:t xml:space="preserve"> 2024</w:t>
      </w:r>
    </w:p>
    <w:p w:rsidR="00295873" w:rsidRDefault="00295873" w:rsidP="006344A4">
      <w:pPr>
        <w:pStyle w:val="Standard"/>
        <w:ind w:left="1080"/>
        <w:rPr>
          <w:color w:val="2E74B5" w:themeColor="accent5" w:themeShade="BF"/>
        </w:rPr>
      </w:pPr>
      <w:r>
        <w:rPr>
          <w:color w:val="2E74B5" w:themeColor="accent5" w:themeShade="BF"/>
        </w:rPr>
        <w:t>November 19</w:t>
      </w:r>
      <w:r w:rsidRPr="00295873">
        <w:rPr>
          <w:color w:val="2E74B5" w:themeColor="accent5" w:themeShade="BF"/>
          <w:vertAlign w:val="superscript"/>
        </w:rPr>
        <w:t>th</w:t>
      </w:r>
      <w:r>
        <w:rPr>
          <w:color w:val="2E74B5" w:themeColor="accent5" w:themeShade="BF"/>
        </w:rPr>
        <w:t xml:space="preserve"> 2024</w:t>
      </w:r>
    </w:p>
    <w:p w:rsidR="00295873" w:rsidRDefault="00295873" w:rsidP="006344A4">
      <w:pPr>
        <w:pStyle w:val="Standard"/>
        <w:ind w:left="1080"/>
        <w:rPr>
          <w:color w:val="2E74B5" w:themeColor="accent5" w:themeShade="BF"/>
        </w:rPr>
      </w:pPr>
      <w:r>
        <w:rPr>
          <w:color w:val="2E74B5" w:themeColor="accent5" w:themeShade="BF"/>
        </w:rPr>
        <w:t>January 21</w:t>
      </w:r>
      <w:r w:rsidRPr="00295873">
        <w:rPr>
          <w:color w:val="2E74B5" w:themeColor="accent5" w:themeShade="BF"/>
          <w:vertAlign w:val="superscript"/>
        </w:rPr>
        <w:t>st</w:t>
      </w:r>
      <w:r>
        <w:rPr>
          <w:color w:val="2E74B5" w:themeColor="accent5" w:themeShade="BF"/>
        </w:rPr>
        <w:t xml:space="preserve"> 2025</w:t>
      </w:r>
    </w:p>
    <w:p w:rsidR="00295873" w:rsidRDefault="00295873" w:rsidP="006344A4">
      <w:pPr>
        <w:pStyle w:val="Standard"/>
        <w:ind w:left="1080"/>
        <w:rPr>
          <w:color w:val="2E74B5" w:themeColor="accent5" w:themeShade="BF"/>
        </w:rPr>
      </w:pPr>
      <w:r>
        <w:rPr>
          <w:color w:val="2E74B5" w:themeColor="accent5" w:themeShade="BF"/>
        </w:rPr>
        <w:t>March 18</w:t>
      </w:r>
      <w:r w:rsidRPr="00295873">
        <w:rPr>
          <w:color w:val="2E74B5" w:themeColor="accent5" w:themeShade="BF"/>
          <w:vertAlign w:val="superscript"/>
        </w:rPr>
        <w:t>th</w:t>
      </w:r>
      <w:r>
        <w:rPr>
          <w:color w:val="2E74B5" w:themeColor="accent5" w:themeShade="BF"/>
        </w:rPr>
        <w:t xml:space="preserve"> 2025</w:t>
      </w:r>
    </w:p>
    <w:p w:rsidR="00295873" w:rsidRPr="00295873" w:rsidRDefault="00295873" w:rsidP="006344A4">
      <w:pPr>
        <w:pStyle w:val="Standard"/>
        <w:ind w:left="1080"/>
        <w:rPr>
          <w:color w:val="2E74B5" w:themeColor="accent5" w:themeShade="BF"/>
        </w:rPr>
      </w:pPr>
      <w:r>
        <w:rPr>
          <w:color w:val="2E74B5" w:themeColor="accent5" w:themeShade="BF"/>
        </w:rPr>
        <w:t>May 20</w:t>
      </w:r>
      <w:r w:rsidRPr="00295873">
        <w:rPr>
          <w:color w:val="2E74B5" w:themeColor="accent5" w:themeShade="BF"/>
          <w:vertAlign w:val="superscript"/>
        </w:rPr>
        <w:t>th</w:t>
      </w:r>
      <w:r>
        <w:rPr>
          <w:color w:val="2E74B5" w:themeColor="accent5" w:themeShade="BF"/>
        </w:rPr>
        <w:t xml:space="preserve"> 2025 (Annual Council Meeting)</w:t>
      </w:r>
    </w:p>
    <w:p w:rsidR="006344A4" w:rsidRDefault="006344A4"/>
    <w:sectPr w:rsidR="00634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A6A13"/>
    <w:multiLevelType w:val="hybridMultilevel"/>
    <w:tmpl w:val="56C08930"/>
    <w:lvl w:ilvl="0" w:tplc="C29435F6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A4"/>
    <w:rsid w:val="00295873"/>
    <w:rsid w:val="005079CE"/>
    <w:rsid w:val="006344A4"/>
    <w:rsid w:val="00806438"/>
    <w:rsid w:val="00911735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E8C09"/>
  <w15:chartTrackingRefBased/>
  <w15:docId w15:val="{6D570903-55AF-47F3-853C-4D46F1C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34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EKPC</dc:creator>
  <cp:keywords/>
  <dc:description/>
  <cp:lastModifiedBy>Clerk EKPC</cp:lastModifiedBy>
  <cp:revision>1</cp:revision>
  <dcterms:created xsi:type="dcterms:W3CDTF">2024-05-19T12:18:00Z</dcterms:created>
  <dcterms:modified xsi:type="dcterms:W3CDTF">2024-05-19T13:40:00Z</dcterms:modified>
</cp:coreProperties>
</file>